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2FF733EF" w:rsidR="00596E66" w:rsidRPr="007728E8" w:rsidRDefault="00596E66" w:rsidP="00596E66">
      <w:pPr>
        <w:pStyle w:val="CRCoverPage"/>
        <w:tabs>
          <w:tab w:val="right" w:pos="9639"/>
        </w:tabs>
        <w:spacing w:after="0"/>
        <w:rPr>
          <w:b/>
          <w:i/>
          <w:noProof/>
          <w:sz w:val="28"/>
        </w:rPr>
      </w:pPr>
      <w:bookmarkStart w:id="0" w:name="_GoBack"/>
      <w:bookmarkEnd w:id="0"/>
      <w:r>
        <w:rPr>
          <w:b/>
          <w:noProof/>
          <w:sz w:val="24"/>
        </w:rPr>
        <w:t>3GPP TSG-RAN2#96 meeting</w:t>
      </w:r>
      <w:r>
        <w:rPr>
          <w:b/>
          <w:i/>
          <w:noProof/>
          <w:sz w:val="28"/>
        </w:rPr>
        <w:tab/>
        <w:t xml:space="preserve"> </w:t>
      </w:r>
      <w:r w:rsidRPr="00071E0C">
        <w:rPr>
          <w:b/>
          <w:noProof/>
          <w:sz w:val="28"/>
        </w:rPr>
        <w:t>Tdoc R</w:t>
      </w:r>
      <w:r w:rsidRPr="003A282C">
        <w:rPr>
          <w:b/>
          <w:noProof/>
          <w:sz w:val="28"/>
        </w:rPr>
        <w:t>2-1</w:t>
      </w:r>
      <w:r w:rsidR="00E74236">
        <w:rPr>
          <w:b/>
          <w:noProof/>
          <w:sz w:val="28"/>
        </w:rPr>
        <w:t>7</w:t>
      </w:r>
      <w:r w:rsidR="00A777ED">
        <w:rPr>
          <w:b/>
          <w:noProof/>
          <w:sz w:val="28"/>
        </w:rPr>
        <w:t>00228</w:t>
      </w:r>
    </w:p>
    <w:p w14:paraId="15ADBF75" w14:textId="77777777" w:rsidR="00596E66" w:rsidRDefault="00596E66" w:rsidP="00596E66">
      <w:pPr>
        <w:pStyle w:val="CRCoverPage"/>
        <w:rPr>
          <w:b/>
          <w:noProof/>
          <w:sz w:val="24"/>
        </w:rPr>
      </w:pPr>
      <w:r>
        <w:rPr>
          <w:b/>
          <w:sz w:val="24"/>
          <w:szCs w:val="24"/>
        </w:rPr>
        <w:t>Reno, USA, 14 - 18 November</w:t>
      </w:r>
      <w:r w:rsidRPr="009E4773">
        <w:rPr>
          <w:b/>
          <w:sz w:val="24"/>
          <w:szCs w:val="24"/>
        </w:rPr>
        <w:t xml:space="preserve"> </w:t>
      </w:r>
      <w:r>
        <w:rPr>
          <w:b/>
          <w:sz w:val="24"/>
          <w:szCs w:val="24"/>
        </w:rPr>
        <w:t>2016</w:t>
      </w:r>
    </w:p>
    <w:p w14:paraId="4596BA2E" w14:textId="2338FAAB" w:rsidR="00596E66" w:rsidRPr="009A6513" w:rsidRDefault="00596E66" w:rsidP="00596E66">
      <w:pPr>
        <w:pStyle w:val="CRCoverPage"/>
        <w:ind w:left="1988" w:hanging="1988"/>
        <w:rPr>
          <w:b/>
          <w:noProof/>
          <w:sz w:val="24"/>
        </w:rPr>
      </w:pPr>
      <w:r>
        <w:rPr>
          <w:b/>
          <w:noProof/>
          <w:sz w:val="24"/>
        </w:rPr>
        <w:t>Agenda Item:</w:t>
      </w:r>
      <w:r>
        <w:rPr>
          <w:b/>
          <w:noProof/>
          <w:sz w:val="24"/>
        </w:rPr>
        <w:tab/>
      </w:r>
      <w:r w:rsidR="00E74236">
        <w:rPr>
          <w:b/>
          <w:noProof/>
          <w:sz w:val="24"/>
        </w:rPr>
        <w:t>3</w:t>
      </w:r>
      <w:r>
        <w:rPr>
          <w:b/>
          <w:noProof/>
          <w:sz w:val="24"/>
        </w:rPr>
        <w:t>.2.1.</w:t>
      </w:r>
      <w:r w:rsidR="001108CB">
        <w:rPr>
          <w:b/>
          <w:noProof/>
          <w:sz w:val="24"/>
        </w:rPr>
        <w:t>4</w:t>
      </w:r>
    </w:p>
    <w:p w14:paraId="427145E9" w14:textId="698891B8"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4D6FED">
        <w:rPr>
          <w:b/>
          <w:noProof/>
          <w:sz w:val="24"/>
        </w:rPr>
        <w:t>.</w:t>
      </w:r>
    </w:p>
    <w:p w14:paraId="0E93D543" w14:textId="18C1B835"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4D6FED">
        <w:rPr>
          <w:b/>
          <w:noProof/>
          <w:sz w:val="24"/>
        </w:rPr>
        <w:t>DRX enhancement for NR</w:t>
      </w:r>
    </w:p>
    <w:bookmarkEnd w:id="1"/>
    <w:bookmarkEnd w:id="2"/>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3C5CDAD" w14:textId="3D67FC2E" w:rsidR="00412526" w:rsidRDefault="00A72817" w:rsidP="00412526">
      <w:pPr>
        <w:pStyle w:val="Doc-text2"/>
        <w:tabs>
          <w:tab w:val="left" w:pos="340"/>
        </w:tabs>
        <w:ind w:left="0" w:firstLine="0"/>
        <w:jc w:val="both"/>
      </w:pPr>
      <w:r>
        <w:t xml:space="preserve">This document is a resubmission of an earlier </w:t>
      </w:r>
      <w:r w:rsidR="00B54B37">
        <w:t xml:space="preserve">contribution </w:t>
      </w:r>
      <w:r w:rsidR="00B54B37">
        <w:fldChar w:fldCharType="begin"/>
      </w:r>
      <w:r w:rsidR="00B54B37">
        <w:instrText xml:space="preserve"> REF _Ref471397592 \r \h </w:instrText>
      </w:r>
      <w:r w:rsidR="00B54B37">
        <w:fldChar w:fldCharType="separate"/>
      </w:r>
      <w:r w:rsidR="00B54B37">
        <w:t>[1]</w:t>
      </w:r>
      <w:r w:rsidR="00B54B37">
        <w:fldChar w:fldCharType="end"/>
      </w:r>
      <w:r>
        <w:t xml:space="preserve">. </w:t>
      </w:r>
      <w:r w:rsidR="004D6FED">
        <w:t xml:space="preserve">In RAN2#95BIS, the topic of DRX enhancement for NR was discussed </w:t>
      </w:r>
      <w:r w:rsidR="00B54B37">
        <w:fldChar w:fldCharType="begin"/>
      </w:r>
      <w:r w:rsidR="00B54B37">
        <w:instrText xml:space="preserve"> REF _Ref471397605 \r \h </w:instrText>
      </w:r>
      <w:r w:rsidR="00B54B37">
        <w:fldChar w:fldCharType="separate"/>
      </w:r>
      <w:r w:rsidR="00B54B37">
        <w:t>[2]</w:t>
      </w:r>
      <w:r w:rsidR="00B54B37">
        <w:fldChar w:fldCharType="end"/>
      </w:r>
      <w:r w:rsidR="00DF12E0">
        <w:t xml:space="preserve"> </w:t>
      </w:r>
      <w:r w:rsidR="004D6FED">
        <w:t>and the following agreement was reached.</w:t>
      </w:r>
    </w:p>
    <w:p w14:paraId="2029D1AB" w14:textId="77777777" w:rsidR="00DF12E0" w:rsidRDefault="00DF12E0" w:rsidP="00412526">
      <w:pPr>
        <w:pStyle w:val="Doc-text2"/>
        <w:tabs>
          <w:tab w:val="left" w:pos="340"/>
        </w:tabs>
        <w:ind w:left="0" w:firstLine="0"/>
        <w:jc w:val="both"/>
      </w:pPr>
    </w:p>
    <w:p w14:paraId="111EAB8C" w14:textId="77777777" w:rsidR="00DF12E0" w:rsidRDefault="00DF12E0" w:rsidP="00DF12E0">
      <w:pPr>
        <w:pStyle w:val="Doc-text2"/>
        <w:pBdr>
          <w:top w:val="single" w:sz="4" w:space="1" w:color="auto"/>
          <w:left w:val="single" w:sz="4" w:space="4" w:color="auto"/>
          <w:bottom w:val="single" w:sz="4" w:space="1" w:color="auto"/>
          <w:right w:val="single" w:sz="4" w:space="4" w:color="auto"/>
        </w:pBdr>
      </w:pPr>
      <w:r>
        <w:t>Agreements</w:t>
      </w:r>
    </w:p>
    <w:p w14:paraId="60A7CB29" w14:textId="77777777" w:rsidR="00DF12E0" w:rsidRDefault="00DF12E0" w:rsidP="00DF12E0">
      <w:pPr>
        <w:pStyle w:val="Doc-text2"/>
        <w:pBdr>
          <w:top w:val="single" w:sz="4" w:space="1" w:color="auto"/>
          <w:left w:val="single" w:sz="4" w:space="4" w:color="auto"/>
          <w:bottom w:val="single" w:sz="4" w:space="1" w:color="auto"/>
          <w:right w:val="single" w:sz="4" w:space="4" w:color="auto"/>
        </w:pBdr>
      </w:pPr>
      <w:r>
        <w:t xml:space="preserve">1. </w:t>
      </w:r>
      <w:r>
        <w:tab/>
        <w:t>DRX enhancement is studied in NR in order to support multiple services with different requirements and/or numerologies.</w:t>
      </w:r>
    </w:p>
    <w:p w14:paraId="381C5867" w14:textId="77777777" w:rsidR="00DF12E0" w:rsidRDefault="00DF12E0" w:rsidP="00412526">
      <w:pPr>
        <w:pStyle w:val="Doc-text2"/>
        <w:tabs>
          <w:tab w:val="left" w:pos="340"/>
        </w:tabs>
        <w:ind w:left="0" w:firstLine="0"/>
        <w:jc w:val="both"/>
      </w:pPr>
    </w:p>
    <w:p w14:paraId="43A0A886" w14:textId="19C4E898" w:rsidR="00DF12E0" w:rsidRPr="007276DD" w:rsidRDefault="00DF12E0" w:rsidP="00412526">
      <w:pPr>
        <w:pStyle w:val="Doc-text2"/>
        <w:tabs>
          <w:tab w:val="left" w:pos="340"/>
        </w:tabs>
        <w:ind w:left="0" w:firstLine="0"/>
        <w:jc w:val="both"/>
      </w:pPr>
      <w:r>
        <w:t>In this contribution, we provide our views on this topic.</w:t>
      </w:r>
    </w:p>
    <w:p w14:paraId="4A7A3220" w14:textId="11E4150F" w:rsidR="00DF12E0" w:rsidRPr="00DF12E0" w:rsidRDefault="00972E3C" w:rsidP="00DF12E0">
      <w:pPr>
        <w:pStyle w:val="Heading1"/>
        <w:rPr>
          <w:lang w:val="en-US" w:eastAsia="ko-KR"/>
        </w:rPr>
      </w:pPr>
      <w:r>
        <w:rPr>
          <w:lang w:val="en-US" w:eastAsia="ko-KR"/>
        </w:rPr>
        <w:t xml:space="preserve">2 </w:t>
      </w:r>
      <w:r w:rsidR="00114BBE">
        <w:rPr>
          <w:lang w:val="en-US" w:eastAsia="ko-KR"/>
        </w:rPr>
        <w:t>Discussion</w:t>
      </w:r>
    </w:p>
    <w:p w14:paraId="388C8D45" w14:textId="058DE01B" w:rsidR="00E17483" w:rsidRDefault="007065DB" w:rsidP="004D6FED">
      <w:pPr>
        <w:pStyle w:val="Doc-text2"/>
        <w:tabs>
          <w:tab w:val="left" w:pos="340"/>
        </w:tabs>
        <w:ind w:left="0" w:firstLine="0"/>
        <w:jc w:val="both"/>
      </w:pPr>
      <w:r>
        <w:t xml:space="preserve">In </w:t>
      </w:r>
      <w:r w:rsidR="00D97952">
        <w:fldChar w:fldCharType="begin"/>
      </w:r>
      <w:r w:rsidR="00D97952">
        <w:instrText xml:space="preserve"> REF _Ref471397605 \r \h </w:instrText>
      </w:r>
      <w:r w:rsidR="00D97952">
        <w:fldChar w:fldCharType="separate"/>
      </w:r>
      <w:r w:rsidR="00D97952">
        <w:t>[2]</w:t>
      </w:r>
      <w:r w:rsidR="00D97952">
        <w:fldChar w:fldCharType="end"/>
      </w:r>
      <w:r w:rsidR="00DF12E0">
        <w:t>, it is proposed that “</w:t>
      </w:r>
      <w:r w:rsidR="00DF12E0">
        <w:rPr>
          <w:rFonts w:eastAsia="Malgun Gothic"/>
          <w:lang w:val="en-US" w:eastAsia="ko-KR"/>
        </w:rPr>
        <w:t xml:space="preserve">service-specific DRX would be one possible approach, where DRX is configured per service while the UE monitors PDCCH in On Duration of any of the DRX pattern, i.e., </w:t>
      </w:r>
      <w:r w:rsidR="00F761A4">
        <w:rPr>
          <w:rFonts w:eastAsia="Malgun Gothic"/>
          <w:lang w:val="en-US" w:eastAsia="ko-KR"/>
        </w:rPr>
        <w:t>“</w:t>
      </w:r>
      <w:r w:rsidR="00DF12E0">
        <w:rPr>
          <w:rFonts w:eastAsia="Malgun Gothic"/>
          <w:lang w:val="en-US" w:eastAsia="ko-KR"/>
        </w:rPr>
        <w:t>unio</w:t>
      </w:r>
      <w:r w:rsidR="00DA7160">
        <w:rPr>
          <w:rFonts w:eastAsia="Malgun Gothic"/>
          <w:lang w:val="en-US" w:eastAsia="ko-KR"/>
        </w:rPr>
        <w:t>n approach</w:t>
      </w:r>
      <w:r w:rsidR="00DF12E0">
        <w:t>”</w:t>
      </w:r>
      <w:r w:rsidR="00DA7160">
        <w:t>.</w:t>
      </w:r>
      <w:r w:rsidR="00DF12E0">
        <w:t xml:space="preserve"> Moreover, it is suggested in [</w:t>
      </w:r>
      <w:r w:rsidR="00D97952">
        <w:t>2</w:t>
      </w:r>
      <w:r w:rsidR="00DF12E0">
        <w:t>], that asymmetric activity in downlink and uplink also needs to be considered when considering DRX enhancement in NR.</w:t>
      </w:r>
    </w:p>
    <w:p w14:paraId="68059EEF" w14:textId="77777777" w:rsidR="00DF12E0" w:rsidRDefault="00DF12E0" w:rsidP="004D6FED">
      <w:pPr>
        <w:pStyle w:val="Doc-text2"/>
        <w:tabs>
          <w:tab w:val="left" w:pos="340"/>
        </w:tabs>
        <w:ind w:left="0" w:firstLine="0"/>
        <w:jc w:val="both"/>
      </w:pPr>
    </w:p>
    <w:p w14:paraId="6B5E0190" w14:textId="59C023B3" w:rsidR="00DF12E0" w:rsidRDefault="00DF12E0" w:rsidP="004D6FED">
      <w:pPr>
        <w:pStyle w:val="Doc-text2"/>
        <w:tabs>
          <w:tab w:val="left" w:pos="340"/>
        </w:tabs>
        <w:ind w:left="0" w:firstLine="0"/>
        <w:jc w:val="both"/>
      </w:pPr>
      <w:r>
        <w:t>It is true that different services and applications have different performance requirements (e.g., latency and data rate). However, it is not clear that service-specific DRX configurat</w:t>
      </w:r>
      <w:r w:rsidR="00BA06EF">
        <w:t>ion is the solution. Since the g</w:t>
      </w:r>
      <w:r>
        <w:t>NB is aware of the services that a UE supports at any time, as well as the performance requirements of such services, a simpler approach would be for the gNB to determine the desir</w:t>
      </w:r>
      <w:r w:rsidR="00C9277D">
        <w:t>ed DRX cycle. For example, the g</w:t>
      </w:r>
      <w:r>
        <w:t>NB could use the “union approach” t</w:t>
      </w:r>
      <w:r w:rsidR="00D97952">
        <w:t>o On Duration as mentioned in [2</w:t>
      </w:r>
      <w:r>
        <w:t>].</w:t>
      </w:r>
    </w:p>
    <w:p w14:paraId="2E28CB71" w14:textId="77777777" w:rsidR="00DF12E0" w:rsidRDefault="00DF12E0" w:rsidP="004D6FED">
      <w:pPr>
        <w:pStyle w:val="Doc-text2"/>
        <w:tabs>
          <w:tab w:val="left" w:pos="340"/>
        </w:tabs>
        <w:ind w:left="0" w:firstLine="0"/>
        <w:jc w:val="both"/>
      </w:pPr>
    </w:p>
    <w:p w14:paraId="323DC000" w14:textId="7AF56293" w:rsidR="00DF12E0" w:rsidRPr="00DF12E0" w:rsidRDefault="00DF12E0" w:rsidP="004D6FED">
      <w:pPr>
        <w:pStyle w:val="Doc-text2"/>
        <w:tabs>
          <w:tab w:val="left" w:pos="340"/>
        </w:tabs>
        <w:ind w:left="0" w:firstLine="0"/>
        <w:jc w:val="both"/>
        <w:rPr>
          <w:b/>
        </w:rPr>
      </w:pPr>
      <w:r w:rsidRPr="00DF12E0">
        <w:rPr>
          <w:b/>
        </w:rPr>
        <w:t>Observation 1: The gNB can determine the desired DRX cycle and parameters based on the services and/or numerologies supported by the UE at any point of time.</w:t>
      </w:r>
    </w:p>
    <w:p w14:paraId="5109AB17" w14:textId="77777777" w:rsidR="00DF12E0" w:rsidRPr="00DF12E0" w:rsidRDefault="00DF12E0" w:rsidP="004D6FED">
      <w:pPr>
        <w:pStyle w:val="Doc-text2"/>
        <w:tabs>
          <w:tab w:val="left" w:pos="340"/>
        </w:tabs>
        <w:ind w:left="0" w:firstLine="0"/>
        <w:jc w:val="both"/>
        <w:rPr>
          <w:b/>
        </w:rPr>
      </w:pPr>
    </w:p>
    <w:p w14:paraId="197E72F3" w14:textId="230C9DC9" w:rsidR="00DF12E0" w:rsidRDefault="00DF12E0" w:rsidP="00DF12E0">
      <w:pPr>
        <w:pStyle w:val="Doc-text2"/>
        <w:tabs>
          <w:tab w:val="left" w:pos="340"/>
        </w:tabs>
        <w:ind w:left="0" w:firstLine="0"/>
        <w:jc w:val="both"/>
      </w:pPr>
      <w:r>
        <w:t>Accordingly, we do not see the need to deviate from the LTE baseline for DRX configuration in NR. Of course, it is still possible to consider DRX enhancements (e.g., to support high frequency scenarios, different numerologies and services) but there does not seem to a strong reason to make the DRX configuration service specific.</w:t>
      </w:r>
    </w:p>
    <w:p w14:paraId="7B560FC7" w14:textId="77777777" w:rsidR="00DF12E0" w:rsidRDefault="00DF12E0" w:rsidP="004D6FED">
      <w:pPr>
        <w:pStyle w:val="Doc-text2"/>
        <w:tabs>
          <w:tab w:val="left" w:pos="340"/>
        </w:tabs>
        <w:ind w:left="0" w:firstLine="0"/>
        <w:jc w:val="both"/>
      </w:pPr>
    </w:p>
    <w:p w14:paraId="0A302EE2" w14:textId="360DE2C4" w:rsidR="00DF12E0" w:rsidRPr="00DF12E0" w:rsidRDefault="00DF12E0" w:rsidP="004D6FED">
      <w:pPr>
        <w:pStyle w:val="Doc-text2"/>
        <w:tabs>
          <w:tab w:val="left" w:pos="340"/>
        </w:tabs>
        <w:ind w:left="0" w:firstLine="0"/>
        <w:jc w:val="both"/>
        <w:rPr>
          <w:b/>
        </w:rPr>
      </w:pPr>
      <w:r w:rsidRPr="00DF12E0">
        <w:rPr>
          <w:b/>
        </w:rPr>
        <w:t>Proposal 1: DRX configuration in NR should be UE-specific.</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706F1742" w14:textId="155C76B5"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DF12E0">
        <w:rPr>
          <w:rFonts w:ascii="Arial" w:eastAsia="MS Mincho" w:hAnsi="Arial"/>
          <w:szCs w:val="24"/>
        </w:rPr>
        <w:t xml:space="preserve"> issue of DRX configuration for NR. Our proposal</w:t>
      </w:r>
      <w:r w:rsidR="007F12B1">
        <w:rPr>
          <w:rFonts w:ascii="Arial" w:eastAsia="MS Mincho" w:hAnsi="Arial"/>
          <w:szCs w:val="24"/>
        </w:rPr>
        <w:t xml:space="preserve"> </w:t>
      </w:r>
      <w:r w:rsidR="00DF12E0">
        <w:rPr>
          <w:rFonts w:ascii="Arial" w:eastAsia="MS Mincho" w:hAnsi="Arial"/>
          <w:szCs w:val="24"/>
        </w:rPr>
        <w:t>and observation</w:t>
      </w:r>
      <w:r w:rsidR="00BD2617">
        <w:rPr>
          <w:rFonts w:ascii="Arial" w:eastAsia="MS Mincho" w:hAnsi="Arial"/>
          <w:szCs w:val="24"/>
        </w:rPr>
        <w:t xml:space="preserve"> </w:t>
      </w:r>
      <w:r w:rsidR="007F12B1">
        <w:rPr>
          <w:rFonts w:ascii="Arial" w:eastAsia="MS Mincho" w:hAnsi="Arial"/>
          <w:szCs w:val="24"/>
        </w:rPr>
        <w:t>are summarized below.</w:t>
      </w:r>
    </w:p>
    <w:p w14:paraId="1602C09C" w14:textId="77777777" w:rsidR="00DF12E0" w:rsidRPr="00DF12E0" w:rsidRDefault="00DF12E0" w:rsidP="00DF12E0">
      <w:pPr>
        <w:pStyle w:val="Doc-text2"/>
        <w:tabs>
          <w:tab w:val="left" w:pos="340"/>
        </w:tabs>
        <w:ind w:left="0" w:firstLine="0"/>
        <w:jc w:val="both"/>
        <w:rPr>
          <w:b/>
        </w:rPr>
      </w:pPr>
      <w:r w:rsidRPr="00DF12E0">
        <w:rPr>
          <w:b/>
        </w:rPr>
        <w:t>Observation 1: The gNB can determine the desired DRX cycle and parameters based on the services and/or numerologies supported by the UE at any point of time.</w:t>
      </w:r>
    </w:p>
    <w:p w14:paraId="54E1B60D" w14:textId="77777777" w:rsidR="00DF12E0" w:rsidRDefault="00DF12E0" w:rsidP="00DF12E0">
      <w:pPr>
        <w:pStyle w:val="Doc-text2"/>
        <w:tabs>
          <w:tab w:val="left" w:pos="340"/>
        </w:tabs>
        <w:ind w:left="0" w:firstLine="0"/>
        <w:jc w:val="both"/>
      </w:pPr>
    </w:p>
    <w:p w14:paraId="7211EE9B" w14:textId="77777777" w:rsidR="00DF12E0" w:rsidRPr="00DF12E0" w:rsidRDefault="00DF12E0" w:rsidP="00DF12E0">
      <w:pPr>
        <w:pStyle w:val="Doc-text2"/>
        <w:tabs>
          <w:tab w:val="left" w:pos="340"/>
        </w:tabs>
        <w:ind w:left="0" w:firstLine="0"/>
        <w:jc w:val="both"/>
        <w:rPr>
          <w:b/>
        </w:rPr>
      </w:pPr>
      <w:r w:rsidRPr="00DF12E0">
        <w:rPr>
          <w:b/>
        </w:rPr>
        <w:t>Proposal 1: DRX configuration in NR should be UE-specific.</w:t>
      </w:r>
    </w:p>
    <w:p w14:paraId="1742C550" w14:textId="77777777" w:rsidR="00DF12E0" w:rsidRDefault="00DF12E0" w:rsidP="00AD3318">
      <w:pPr>
        <w:rPr>
          <w:rFonts w:ascii="Arial" w:eastAsia="MS Mincho" w:hAnsi="Arial"/>
          <w:szCs w:val="24"/>
        </w:rPr>
      </w:pP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3EBE0FE" w14:textId="1A1E8C20" w:rsidR="00A72817" w:rsidRPr="00A72817" w:rsidRDefault="00A72817" w:rsidP="00A72817">
      <w:pPr>
        <w:pStyle w:val="ListParagraph"/>
        <w:numPr>
          <w:ilvl w:val="0"/>
          <w:numId w:val="21"/>
        </w:numPr>
        <w:spacing w:after="60"/>
        <w:rPr>
          <w:rFonts w:ascii="Arial" w:hAnsi="Arial" w:cs="Arial"/>
          <w:sz w:val="20"/>
          <w:szCs w:val="20"/>
          <w:lang w:eastAsia="ko-KR"/>
        </w:rPr>
      </w:pPr>
      <w:bookmarkStart w:id="3" w:name="_Ref471397592"/>
      <w:bookmarkStart w:id="4" w:name="_Ref458604852"/>
      <w:bookmarkStart w:id="5" w:name="_Ref465873028"/>
      <w:bookmarkStart w:id="6" w:name="_Ref447035248"/>
      <w:bookmarkStart w:id="7" w:name="_Ref450578472"/>
      <w:bookmarkStart w:id="8" w:name="_Ref465943628"/>
      <w:r>
        <w:rPr>
          <w:rFonts w:ascii="Arial" w:hAnsi="Arial" w:cs="Arial"/>
          <w:sz w:val="20"/>
          <w:szCs w:val="20"/>
          <w:lang w:eastAsia="ko-KR"/>
        </w:rPr>
        <w:t>R2-168590, DRX enhancement for NR, MediaTek Inc.</w:t>
      </w:r>
      <w:bookmarkEnd w:id="3"/>
    </w:p>
    <w:p w14:paraId="2D7B406F" w14:textId="28F64FD0" w:rsidR="007F12B1" w:rsidRDefault="00BC4C9B" w:rsidP="004D6FED">
      <w:pPr>
        <w:pStyle w:val="ListParagraph"/>
        <w:numPr>
          <w:ilvl w:val="0"/>
          <w:numId w:val="21"/>
        </w:numPr>
        <w:spacing w:after="60"/>
        <w:rPr>
          <w:rFonts w:ascii="Arial" w:hAnsi="Arial" w:cs="Arial"/>
          <w:sz w:val="20"/>
          <w:szCs w:val="20"/>
          <w:lang w:eastAsia="ko-KR"/>
        </w:rPr>
      </w:pPr>
      <w:bookmarkStart w:id="9" w:name="_Ref471397605"/>
      <w:r>
        <w:rPr>
          <w:rFonts w:ascii="Arial" w:hAnsi="Arial" w:cs="Arial"/>
          <w:sz w:val="20"/>
          <w:szCs w:val="20"/>
          <w:lang w:eastAsia="ko-KR"/>
        </w:rPr>
        <w:t>R2-16</w:t>
      </w:r>
      <w:bookmarkEnd w:id="4"/>
      <w:bookmarkEnd w:id="5"/>
      <w:bookmarkEnd w:id="6"/>
      <w:bookmarkEnd w:id="7"/>
      <w:r w:rsidR="004D6FED">
        <w:rPr>
          <w:rFonts w:ascii="Arial" w:hAnsi="Arial" w:cs="Arial"/>
          <w:sz w:val="20"/>
          <w:szCs w:val="20"/>
          <w:lang w:eastAsia="ko-KR"/>
        </w:rPr>
        <w:t>6647, DRX enhancement in NR, LG Electronics Inc.</w:t>
      </w:r>
      <w:bookmarkEnd w:id="8"/>
      <w:bookmarkEnd w:id="9"/>
    </w:p>
    <w:sectPr w:rsidR="007F12B1"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7F147" w14:textId="77777777" w:rsidR="00793013" w:rsidRDefault="007930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46567" w14:textId="77777777" w:rsidR="00793013" w:rsidRDefault="007930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77226" w14:textId="77777777" w:rsidR="00793013" w:rsidRDefault="007930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764D9" w14:textId="77777777" w:rsidR="00793013" w:rsidRDefault="007930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D1CDB" w14:textId="77777777" w:rsidR="00793013" w:rsidRDefault="007930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89B5D" w14:textId="77777777" w:rsidR="00793013" w:rsidRDefault="007930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BDF"/>
    <w:rsid w:val="00036C4C"/>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08CB"/>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815"/>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6FED"/>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013"/>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03"/>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2817"/>
    <w:rsid w:val="00A731D9"/>
    <w:rsid w:val="00A75132"/>
    <w:rsid w:val="00A77684"/>
    <w:rsid w:val="00A777ED"/>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0309"/>
    <w:rsid w:val="00B51155"/>
    <w:rsid w:val="00B517BF"/>
    <w:rsid w:val="00B517E9"/>
    <w:rsid w:val="00B51D38"/>
    <w:rsid w:val="00B52BE4"/>
    <w:rsid w:val="00B531C1"/>
    <w:rsid w:val="00B542B2"/>
    <w:rsid w:val="00B54573"/>
    <w:rsid w:val="00B54894"/>
    <w:rsid w:val="00B54B37"/>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6EF"/>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B39"/>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3D0E"/>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083F"/>
    <w:rsid w:val="00C813D9"/>
    <w:rsid w:val="00C82F81"/>
    <w:rsid w:val="00C85F05"/>
    <w:rsid w:val="00C867CF"/>
    <w:rsid w:val="00C86B9A"/>
    <w:rsid w:val="00C8796E"/>
    <w:rsid w:val="00C91825"/>
    <w:rsid w:val="00C9277D"/>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952"/>
    <w:rsid w:val="00D97C03"/>
    <w:rsid w:val="00D97EAE"/>
    <w:rsid w:val="00DA0F41"/>
    <w:rsid w:val="00DA17AE"/>
    <w:rsid w:val="00DA1E43"/>
    <w:rsid w:val="00DA243B"/>
    <w:rsid w:val="00DA2483"/>
    <w:rsid w:val="00DA3044"/>
    <w:rsid w:val="00DA3561"/>
    <w:rsid w:val="00DA39B0"/>
    <w:rsid w:val="00DA5B72"/>
    <w:rsid w:val="00DA7160"/>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2E0"/>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236"/>
    <w:rsid w:val="00E7450E"/>
    <w:rsid w:val="00E81EE9"/>
    <w:rsid w:val="00E82C18"/>
    <w:rsid w:val="00E82EBA"/>
    <w:rsid w:val="00E82F81"/>
    <w:rsid w:val="00E87526"/>
    <w:rsid w:val="00E879BA"/>
    <w:rsid w:val="00E9039C"/>
    <w:rsid w:val="00E90D4D"/>
    <w:rsid w:val="00E91619"/>
    <w:rsid w:val="00E937D6"/>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1A4"/>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2017-01-06T23:05:00Z</dcterms:created>
  <dcterms:modified xsi:type="dcterms:W3CDTF">2017-01-06T23:05:00Z</dcterms:modified>
</cp:coreProperties>
</file>